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27" w:rsidRDefault="00BE1B27" w:rsidP="00451002">
      <w:pPr>
        <w:tabs>
          <w:tab w:val="left" w:pos="900"/>
        </w:tabs>
        <w:ind w:left="-360" w:firstLine="540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BE1B27">
        <w:rPr>
          <w:rFonts w:ascii="Times New Roman" w:hAnsi="Times New Roman"/>
          <w:b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3.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Verdana&quot;;font-style:italic;v-text-kern:t" trim="t" fitpath="t" string="Здоровое питание"/>
          </v:shape>
        </w:pict>
      </w:r>
    </w:p>
    <w:p w:rsidR="00BE1B27" w:rsidRDefault="00BE1B27" w:rsidP="00451002">
      <w:pPr>
        <w:tabs>
          <w:tab w:val="left" w:pos="900"/>
        </w:tabs>
        <w:ind w:left="-360" w:firstLine="540"/>
        <w:jc w:val="center"/>
        <w:rPr>
          <w:rFonts w:ascii="Times New Roman" w:hAnsi="Times New Roman"/>
          <w:b/>
          <w:sz w:val="27"/>
          <w:szCs w:val="27"/>
        </w:rPr>
      </w:pPr>
    </w:p>
    <w:p w:rsidR="00907433" w:rsidRPr="00012769" w:rsidRDefault="008F354A" w:rsidP="00451002">
      <w:pPr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8890</wp:posOffset>
            </wp:positionV>
            <wp:extent cx="2026285" cy="2026285"/>
            <wp:effectExtent l="38100" t="38100" r="31115" b="31115"/>
            <wp:wrapSquare wrapText="bothSides"/>
            <wp:docPr id="3" name="Рисунок 3" descr="Wall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l V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02628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28575">
                      <a:solidFill>
                        <a:srgbClr val="00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002">
        <w:rPr>
          <w:rFonts w:ascii="Times New Roman" w:hAnsi="Times New Roman"/>
          <w:sz w:val="27"/>
          <w:szCs w:val="27"/>
        </w:rPr>
        <w:t xml:space="preserve">  </w:t>
      </w:r>
      <w:r w:rsidR="00907433" w:rsidRPr="00012769">
        <w:rPr>
          <w:rFonts w:ascii="Times New Roman" w:hAnsi="Times New Roman"/>
          <w:sz w:val="28"/>
          <w:szCs w:val="28"/>
        </w:rPr>
        <w:t>Здоровое питание предполагает, что:</w:t>
      </w:r>
    </w:p>
    <w:p w:rsidR="00907433" w:rsidRPr="00012769" w:rsidRDefault="00907433" w:rsidP="00451002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180" w:firstLine="18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 xml:space="preserve">Энергетическая ценность рациона должна соответствовать энерготратам организма. Этот тезис называется </w:t>
      </w:r>
      <w:r w:rsidR="00BE1B27" w:rsidRPr="00012769">
        <w:rPr>
          <w:rFonts w:ascii="Times New Roman" w:hAnsi="Times New Roman"/>
          <w:sz w:val="28"/>
          <w:szCs w:val="28"/>
        </w:rPr>
        <w:t xml:space="preserve"> </w:t>
      </w:r>
      <w:r w:rsidRPr="00012769">
        <w:rPr>
          <w:rFonts w:ascii="Times New Roman" w:hAnsi="Times New Roman"/>
          <w:b/>
          <w:sz w:val="28"/>
          <w:szCs w:val="28"/>
        </w:rPr>
        <w:t>Первым законом здорового питания</w:t>
      </w:r>
      <w:r w:rsidRPr="00012769">
        <w:rPr>
          <w:rFonts w:ascii="Times New Roman" w:hAnsi="Times New Roman"/>
          <w:sz w:val="28"/>
          <w:szCs w:val="28"/>
        </w:rPr>
        <w:t>;</w:t>
      </w:r>
    </w:p>
    <w:p w:rsidR="00907433" w:rsidRPr="00012769" w:rsidRDefault="00907433" w:rsidP="00451002">
      <w:pPr>
        <w:numPr>
          <w:ilvl w:val="0"/>
          <w:numId w:val="3"/>
        </w:numPr>
        <w:tabs>
          <w:tab w:val="clear" w:pos="720"/>
          <w:tab w:val="left" w:pos="360"/>
          <w:tab w:val="num" w:pos="900"/>
        </w:tabs>
        <w:ind w:left="180" w:firstLine="18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Содержание белков, жиров, углеводов и микронутриентов должно соответствовать физиологическим потребностям организма</w:t>
      </w:r>
      <w:r w:rsidRPr="00012769">
        <w:rPr>
          <w:rFonts w:ascii="Times New Roman" w:hAnsi="Times New Roman"/>
          <w:b/>
          <w:bCs/>
          <w:sz w:val="28"/>
          <w:szCs w:val="28"/>
        </w:rPr>
        <w:t>.</w:t>
      </w:r>
      <w:r w:rsidRPr="00012769">
        <w:rPr>
          <w:rFonts w:ascii="Times New Roman" w:hAnsi="Times New Roman"/>
          <w:sz w:val="28"/>
          <w:szCs w:val="28"/>
        </w:rPr>
        <w:t xml:space="preserve"> Это утверждение является </w:t>
      </w:r>
      <w:r w:rsidRPr="00012769">
        <w:rPr>
          <w:rFonts w:ascii="Times New Roman" w:hAnsi="Times New Roman"/>
          <w:b/>
          <w:sz w:val="28"/>
          <w:szCs w:val="28"/>
        </w:rPr>
        <w:t>Вторым законом здорового питания</w:t>
      </w:r>
      <w:r w:rsidR="00451002" w:rsidRPr="00012769">
        <w:rPr>
          <w:rFonts w:ascii="Times New Roman" w:hAnsi="Times New Roman"/>
          <w:sz w:val="28"/>
          <w:szCs w:val="28"/>
        </w:rPr>
        <w:t>.</w:t>
      </w:r>
    </w:p>
    <w:p w:rsidR="00907433" w:rsidRPr="00012769" w:rsidRDefault="00907433" w:rsidP="00451002">
      <w:pPr>
        <w:tabs>
          <w:tab w:val="left" w:pos="900"/>
        </w:tabs>
        <w:ind w:left="-360" w:firstLine="540"/>
        <w:rPr>
          <w:rFonts w:ascii="Times New Roman" w:hAnsi="Times New Roman"/>
          <w:sz w:val="28"/>
          <w:szCs w:val="28"/>
        </w:rPr>
      </w:pPr>
    </w:p>
    <w:p w:rsidR="00BE1B27" w:rsidRPr="00012769" w:rsidRDefault="00BE1B27" w:rsidP="00451002">
      <w:pPr>
        <w:tabs>
          <w:tab w:val="left" w:pos="900"/>
        </w:tabs>
        <w:ind w:left="-360" w:firstLine="540"/>
        <w:rPr>
          <w:rFonts w:ascii="Times New Roman" w:hAnsi="Times New Roman"/>
          <w:sz w:val="28"/>
          <w:szCs w:val="28"/>
        </w:rPr>
      </w:pP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Потребность организма человека в калориях, пищевых веществах (белках, жирах, углеводах), витаминах, микроэлементах и биологически активных веществах  в зависимости от возраста, пола и рода занятий установлена в утвержденных нормах. Поскольку данные нормы предназначены для специалистов, а для населения разработаны легко понятные и запоминающиеся модели индивидуальной организации здорового питания.</w:t>
      </w:r>
    </w:p>
    <w:p w:rsidR="00907433" w:rsidRPr="00012769" w:rsidRDefault="008F354A" w:rsidP="00451002">
      <w:pPr>
        <w:ind w:left="-360" w:firstLine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304800</wp:posOffset>
            </wp:positionV>
            <wp:extent cx="2639060" cy="2857500"/>
            <wp:effectExtent l="19050" t="19050" r="27940" b="19050"/>
            <wp:wrapSquare wrapText="bothSides"/>
            <wp:docPr id="6" name="Рисунок 6" descr="Жизнь с болезн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изнь с болезнью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857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33" w:rsidRPr="00012769">
        <w:rPr>
          <w:rFonts w:ascii="Times New Roman" w:hAnsi="Times New Roman"/>
          <w:sz w:val="28"/>
          <w:szCs w:val="28"/>
        </w:rPr>
        <w:t>В</w:t>
      </w:r>
      <w:r w:rsidR="00451002" w:rsidRPr="00012769">
        <w:rPr>
          <w:rFonts w:ascii="Arial" w:hAnsi="Arial" w:cs="Arial"/>
          <w:color w:val="000000"/>
          <w:sz w:val="28"/>
          <w:szCs w:val="28"/>
        </w:rPr>
        <w:t xml:space="preserve"> </w:t>
      </w:r>
      <w:r w:rsidR="00907433" w:rsidRPr="0001276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="00907433" w:rsidRPr="00012769">
          <w:rPr>
            <w:rFonts w:ascii="Times New Roman" w:hAnsi="Times New Roman"/>
            <w:sz w:val="28"/>
            <w:szCs w:val="28"/>
          </w:rPr>
          <w:t>1992 г</w:t>
        </w:r>
      </w:smartTag>
      <w:r w:rsidR="00907433" w:rsidRPr="00012769">
        <w:rPr>
          <w:rFonts w:ascii="Times New Roman" w:hAnsi="Times New Roman"/>
          <w:sz w:val="28"/>
          <w:szCs w:val="28"/>
        </w:rPr>
        <w:t xml:space="preserve"> в США была предложена модель </w:t>
      </w:r>
      <w:r w:rsidR="00907433" w:rsidRPr="00012769">
        <w:rPr>
          <w:rFonts w:ascii="Times New Roman" w:hAnsi="Times New Roman"/>
          <w:b/>
          <w:sz w:val="28"/>
          <w:szCs w:val="28"/>
        </w:rPr>
        <w:t>«Пирамиды питания»,</w:t>
      </w:r>
      <w:r w:rsidR="00907433" w:rsidRPr="00012769">
        <w:rPr>
          <w:rFonts w:ascii="Times New Roman" w:hAnsi="Times New Roman"/>
          <w:sz w:val="28"/>
          <w:szCs w:val="28"/>
        </w:rPr>
        <w:t xml:space="preserve"> которая делит все пищевые продукты на 5 групп: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1 – зерновые продукты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2 – овощи и фрукты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3 – молочные продукты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4 – мясо, рыба, яйца (белково-содержащие продукты)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5 – сладости и масла.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 xml:space="preserve">Эта модель здорового питания используют условную единицу – так называемую порцию – то есть количество продукта определенной группы, с помощью которого можно сосчитать потребление продуктов из этой группы. 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 xml:space="preserve">Больше всего порций в здоровом суточном рационе должно приходится на </w:t>
      </w:r>
      <w:r w:rsidRPr="00012769">
        <w:rPr>
          <w:rFonts w:ascii="Times New Roman" w:hAnsi="Times New Roman"/>
          <w:b/>
          <w:sz w:val="28"/>
          <w:szCs w:val="28"/>
          <w:u w:val="single"/>
        </w:rPr>
        <w:t>зерновые продукты</w:t>
      </w:r>
      <w:r w:rsidRPr="00012769">
        <w:rPr>
          <w:rFonts w:ascii="Times New Roman" w:hAnsi="Times New Roman"/>
          <w:sz w:val="28"/>
          <w:szCs w:val="28"/>
        </w:rPr>
        <w:t xml:space="preserve"> – поэтому зерновые продукты составляют основание пирамиды. Достоинство зерновых продуктов в том, что они содержат  сложные, то есть медленно усваивающиеся углеводы и клетчатку. Это каши (гречневая, овсяная и др.), хлеб из муки грубого помола, макароны из пшеницы твердых сортов. Сюда же относится и хлеб, которого потребляется больше, чем требуется (особенно пшеничного). В ежедневном рационе этих продуктов должно быть от 6 до 11 порций. 1 порция зерновых продуктов - это 1 ломтик хлеба или 1,5 чашки приготовленных макарон, или 1,5 чашки приготовленного риса (1 чашка = 200 мл). 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b/>
          <w:sz w:val="28"/>
          <w:szCs w:val="28"/>
          <w:u w:val="single"/>
        </w:rPr>
        <w:lastRenderedPageBreak/>
        <w:t>Овощи и фрукты</w:t>
      </w:r>
      <w:r w:rsidRPr="00012769">
        <w:rPr>
          <w:rFonts w:ascii="Times New Roman" w:hAnsi="Times New Roman"/>
          <w:sz w:val="28"/>
          <w:szCs w:val="28"/>
        </w:rPr>
        <w:t xml:space="preserve"> – второй уровень пирамиды, в сутки их необходимо потреблять 400-</w:t>
      </w:r>
      <w:smartTag w:uri="urn:schemas-microsoft-com:office:smarttags" w:element="metricconverter">
        <w:smartTagPr>
          <w:attr w:name="ProductID" w:val="600 г"/>
        </w:smartTagPr>
        <w:r w:rsidRPr="00012769">
          <w:rPr>
            <w:rFonts w:ascii="Times New Roman" w:hAnsi="Times New Roman"/>
            <w:sz w:val="28"/>
            <w:szCs w:val="28"/>
          </w:rPr>
          <w:t>600 г</w:t>
        </w:r>
      </w:smartTag>
      <w:r w:rsidRPr="00012769">
        <w:rPr>
          <w:rFonts w:ascii="Times New Roman" w:hAnsi="Times New Roman"/>
          <w:sz w:val="28"/>
          <w:szCs w:val="28"/>
        </w:rPr>
        <w:t>. 1 порция фруктов - это 1 средний фрукт (апельсин, яблоко) или 1 чашка нарезанных фруктов, или 1,5 чашки сока, или 1 чашка сухофруктов. Содержат как клетчатку, так и витамины – С, каротиноиды и фолиевую кислоту, и при этом небольшое количество калорий. Также во фруктах и овощах содержится ряд биологически активных веществ – которые имеют следующую особенность – их отсутствие в рационе не приводит к развитию каких-либо заболеваний, но по мере увеличения их содержания в пище населения частота развития некоторых болезней уменьшается. К этим веществам относятся ресвератрол в винограде, ликопин в томатах, лютеины во фруктах и т.д.</w:t>
      </w:r>
    </w:p>
    <w:p w:rsidR="00907433" w:rsidRPr="00012769" w:rsidRDefault="008F354A" w:rsidP="00451002">
      <w:pPr>
        <w:ind w:left="-360" w:firstLine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144780</wp:posOffset>
            </wp:positionV>
            <wp:extent cx="3188335" cy="2172335"/>
            <wp:effectExtent l="19050" t="19050" r="12065" b="18415"/>
            <wp:wrapSquare wrapText="bothSides"/>
            <wp:docPr id="7" name="Рисунок 7" descr="Пища дл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ища для здоровья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723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33" w:rsidRPr="00012769">
        <w:rPr>
          <w:rFonts w:ascii="Times New Roman" w:hAnsi="Times New Roman"/>
          <w:b/>
          <w:sz w:val="28"/>
          <w:szCs w:val="28"/>
          <w:u w:val="single"/>
        </w:rPr>
        <w:t>Мясо, птица, рыба, яйца, бобовые</w:t>
      </w:r>
      <w:r w:rsidR="00907433" w:rsidRPr="00012769">
        <w:rPr>
          <w:rFonts w:ascii="Times New Roman" w:hAnsi="Times New Roman"/>
          <w:sz w:val="28"/>
          <w:szCs w:val="28"/>
        </w:rPr>
        <w:t xml:space="preserve"> – это продукты, содержащие наибольшее количество белка. Этих продуктов должно быть 2-3 порции (1 порция 85-</w:t>
      </w:r>
      <w:smartTag w:uri="urn:schemas-microsoft-com:office:smarttags" w:element="metricconverter">
        <w:smartTagPr>
          <w:attr w:name="ProductID" w:val="90 г"/>
        </w:smartTagPr>
        <w:r w:rsidR="00907433" w:rsidRPr="00012769">
          <w:rPr>
            <w:rFonts w:ascii="Times New Roman" w:hAnsi="Times New Roman"/>
            <w:sz w:val="28"/>
            <w:szCs w:val="28"/>
          </w:rPr>
          <w:t>90 г</w:t>
        </w:r>
      </w:smartTag>
      <w:r w:rsidR="00907433" w:rsidRPr="00012769">
        <w:rPr>
          <w:rFonts w:ascii="Times New Roman" w:hAnsi="Times New Roman"/>
          <w:sz w:val="28"/>
          <w:szCs w:val="28"/>
        </w:rPr>
        <w:t xml:space="preserve">). В мясе содержится железо, витамины группы В, в рыбе – омега-3-полиненасыщенные жирные кислоты.  Следует учитывать тот факт, что чем естественнее продукт, тем большее количество белка он содержит, а в процессе промышленного приготовлении блюд из мяса содержание белка уменьшается, а жира увеличивается – в колбасе, продуктах из рубленого мяса и полуфабрикатах белка меньше, чем в мясе, а жира больше. 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b/>
          <w:sz w:val="28"/>
          <w:szCs w:val="28"/>
          <w:u w:val="single"/>
        </w:rPr>
        <w:t>Молочные продукты</w:t>
      </w:r>
      <w:r w:rsidRPr="00012769">
        <w:rPr>
          <w:rFonts w:ascii="Times New Roman" w:hAnsi="Times New Roman"/>
          <w:sz w:val="28"/>
          <w:szCs w:val="28"/>
        </w:rPr>
        <w:t xml:space="preserve"> – это источник витамина </w:t>
      </w:r>
      <w:r w:rsidRPr="00012769">
        <w:rPr>
          <w:rFonts w:ascii="Times New Roman" w:hAnsi="Times New Roman"/>
          <w:sz w:val="28"/>
          <w:szCs w:val="28"/>
          <w:lang w:val="en-US"/>
        </w:rPr>
        <w:t>D</w:t>
      </w:r>
      <w:r w:rsidRPr="00012769">
        <w:rPr>
          <w:rFonts w:ascii="Times New Roman" w:hAnsi="Times New Roman"/>
          <w:sz w:val="28"/>
          <w:szCs w:val="28"/>
        </w:rPr>
        <w:t xml:space="preserve"> и кальция, которые необходимы для поддержания прочности скелета. Поддержать иммунитет помогут кисломолочные продукты, содержащие живые бифидо- и лактобактерии, необходимые для профилактики дисбактериоза кишечника. Молочные продукты неоднородны – творог, сметана, сыр содержат больше кальция и больше жира, чем молоко и кисломолочные напитки. Поэтому сыр, творог, сметану необходимо потреблять в умеренном количестве (1 порция этих продуктов = </w:t>
      </w:r>
      <w:smartTag w:uri="urn:schemas-microsoft-com:office:smarttags" w:element="metricconverter">
        <w:smartTagPr>
          <w:attr w:name="ProductID" w:val="30 г"/>
        </w:smartTagPr>
        <w:r w:rsidRPr="00012769">
          <w:rPr>
            <w:rFonts w:ascii="Times New Roman" w:hAnsi="Times New Roman"/>
            <w:sz w:val="28"/>
            <w:szCs w:val="28"/>
          </w:rPr>
          <w:t>30 г</w:t>
        </w:r>
      </w:smartTag>
      <w:r w:rsidRPr="00012769">
        <w:rPr>
          <w:rFonts w:ascii="Times New Roman" w:hAnsi="Times New Roman"/>
          <w:sz w:val="28"/>
          <w:szCs w:val="28"/>
        </w:rPr>
        <w:t>, тогда как для молока или йогурта 1 порция = 1 чашке).</w:t>
      </w:r>
    </w:p>
    <w:p w:rsidR="00907433" w:rsidRPr="00012769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 xml:space="preserve">Самый верхний уровень пирамиды – это продукты, которые должны иметь </w:t>
      </w:r>
      <w:r w:rsidRPr="00012769">
        <w:rPr>
          <w:rFonts w:ascii="Times New Roman" w:hAnsi="Times New Roman"/>
          <w:b/>
          <w:sz w:val="28"/>
          <w:szCs w:val="28"/>
          <w:u w:val="single"/>
        </w:rPr>
        <w:t>минимальный объем потребления</w:t>
      </w:r>
      <w:r w:rsidRPr="00012769">
        <w:rPr>
          <w:rFonts w:ascii="Times New Roman" w:hAnsi="Times New Roman"/>
          <w:sz w:val="28"/>
          <w:szCs w:val="28"/>
        </w:rPr>
        <w:t xml:space="preserve"> – сахаросодержащие продукты (сладкие напитки, конфеты, кондитерские изделия) и жиры (сливочное масло, сало, растительное масло). Последнее - источник полезных для сердца полиненасыщенных жирных кислот. Потребление включенного в эту группу сливочного масла должно быть ограничено. Это же касается и сладостей.</w:t>
      </w:r>
    </w:p>
    <w:p w:rsidR="00907433" w:rsidRPr="00012769" w:rsidRDefault="008F354A" w:rsidP="00451002">
      <w:pPr>
        <w:tabs>
          <w:tab w:val="left" w:pos="540"/>
        </w:tabs>
        <w:ind w:firstLine="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52070</wp:posOffset>
            </wp:positionV>
            <wp:extent cx="3041015" cy="2156460"/>
            <wp:effectExtent l="19050" t="19050" r="26035" b="15240"/>
            <wp:wrapSquare wrapText="bothSides"/>
            <wp:docPr id="4" name="Рисунок 4" descr="Школа правильного питания, правильное питание, как похудеть, корректировка веса, похудеть без голодания Купить БАДы витамины 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ла правильного питания, правильное питание, как похудеть, корректировка веса, похудеть без голодания Купить БАДы витамины NSP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156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33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33" w:rsidRPr="00012769">
        <w:rPr>
          <w:rFonts w:ascii="Times New Roman" w:hAnsi="Times New Roman"/>
          <w:b/>
          <w:sz w:val="28"/>
          <w:szCs w:val="28"/>
        </w:rPr>
        <w:t>Как правило</w:t>
      </w:r>
      <w:r w:rsidR="00907433" w:rsidRPr="00012769">
        <w:rPr>
          <w:rFonts w:ascii="Times New Roman" w:hAnsi="Times New Roman"/>
          <w:sz w:val="28"/>
          <w:szCs w:val="28"/>
        </w:rPr>
        <w:t xml:space="preserve"> население России имеет следующие отклонения в ежедневном рационе питания:</w:t>
      </w:r>
    </w:p>
    <w:p w:rsidR="00907433" w:rsidRDefault="00907433" w:rsidP="00451002">
      <w:pPr>
        <w:numPr>
          <w:ilvl w:val="0"/>
          <w:numId w:val="2"/>
        </w:numPr>
        <w:tabs>
          <w:tab w:val="clear" w:pos="720"/>
          <w:tab w:val="left" w:pos="540"/>
          <w:tab w:val="num" w:pos="900"/>
        </w:tabs>
        <w:ind w:left="0" w:firstLine="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недостаточное потребление зерновых продуктов, овощей и фруктов; низкожирных молочных продуктов (обезжиренное м</w:t>
      </w:r>
      <w:r w:rsidR="00012769">
        <w:rPr>
          <w:rFonts w:ascii="Times New Roman" w:hAnsi="Times New Roman"/>
          <w:sz w:val="28"/>
          <w:szCs w:val="28"/>
        </w:rPr>
        <w:t>олоко, кисломолочные продукты);</w:t>
      </w:r>
    </w:p>
    <w:p w:rsidR="00907433" w:rsidRDefault="00907433" w:rsidP="00012769">
      <w:pPr>
        <w:numPr>
          <w:ilvl w:val="0"/>
          <w:numId w:val="2"/>
        </w:numPr>
        <w:tabs>
          <w:tab w:val="clear" w:pos="720"/>
          <w:tab w:val="left" w:pos="540"/>
          <w:tab w:val="num" w:pos="900"/>
        </w:tabs>
        <w:ind w:left="0" w:firstLine="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 xml:space="preserve">избыточное потребление высокожирных молочных продуктов – сметаны, творога, сыра, сливок), избыток пшеничного хлеба, продуктов </w:t>
      </w:r>
      <w:r w:rsidRPr="00012769">
        <w:rPr>
          <w:rFonts w:ascii="Times New Roman" w:hAnsi="Times New Roman"/>
          <w:sz w:val="28"/>
          <w:szCs w:val="28"/>
        </w:rPr>
        <w:lastRenderedPageBreak/>
        <w:t>из переработанного мяса (колбасы, сосиски) и мясных полуфабрикатов, в которых имеется высокое содержание жира, излишнее потребление сахара (добавленный сахар, в десертах, в кулинарных изделиях</w:t>
      </w:r>
      <w:r w:rsidR="00012769">
        <w:rPr>
          <w:rFonts w:ascii="Times New Roman" w:hAnsi="Times New Roman"/>
          <w:sz w:val="28"/>
          <w:szCs w:val="28"/>
        </w:rPr>
        <w:t xml:space="preserve"> и сладостях, в напитках).</w:t>
      </w:r>
    </w:p>
    <w:p w:rsidR="00012769" w:rsidRDefault="00012769" w:rsidP="00012769">
      <w:pPr>
        <w:tabs>
          <w:tab w:val="left" w:pos="540"/>
        </w:tabs>
        <w:ind w:firstLine="0"/>
        <w:rPr>
          <w:rFonts w:ascii="Times New Roman" w:hAnsi="Times New Roman"/>
          <w:sz w:val="28"/>
          <w:szCs w:val="28"/>
        </w:rPr>
      </w:pPr>
    </w:p>
    <w:p w:rsidR="00012769" w:rsidRPr="00012769" w:rsidRDefault="00012769" w:rsidP="00012769">
      <w:pPr>
        <w:tabs>
          <w:tab w:val="left" w:pos="540"/>
        </w:tabs>
        <w:ind w:firstLine="0"/>
        <w:rPr>
          <w:rFonts w:ascii="Times New Roman" w:hAnsi="Times New Roman"/>
          <w:sz w:val="28"/>
          <w:szCs w:val="28"/>
        </w:rPr>
      </w:pPr>
    </w:p>
    <w:p w:rsidR="00451002" w:rsidRPr="00012769" w:rsidRDefault="00451002" w:rsidP="00451002">
      <w:pPr>
        <w:ind w:left="-360" w:firstLine="540"/>
        <w:rPr>
          <w:rFonts w:ascii="Times New Roman" w:hAnsi="Times New Roman"/>
          <w:sz w:val="28"/>
          <w:szCs w:val="28"/>
        </w:rPr>
      </w:pPr>
    </w:p>
    <w:p w:rsidR="00907433" w:rsidRDefault="00907433" w:rsidP="00451002">
      <w:pPr>
        <w:ind w:left="-360" w:firstLine="54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sz w:val="28"/>
          <w:szCs w:val="28"/>
        </w:rPr>
        <w:t>Правильное питание позволяет предотвратить развитие таких болезней:</w:t>
      </w:r>
    </w:p>
    <w:p w:rsidR="00907433" w:rsidRPr="00012769" w:rsidRDefault="008F354A" w:rsidP="00012769">
      <w:pPr>
        <w:numPr>
          <w:ilvl w:val="1"/>
          <w:numId w:val="2"/>
        </w:numPr>
        <w:tabs>
          <w:tab w:val="clear" w:pos="1485"/>
          <w:tab w:val="num" w:pos="540"/>
        </w:tabs>
        <w:ind w:left="0"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3467100" cy="2409825"/>
            <wp:effectExtent l="38100" t="38100" r="38100" b="47625"/>
            <wp:wrapSquare wrapText="bothSides"/>
            <wp:docPr id="8" name="Рисунок 8" descr="Правильное питание фото... капустная ди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авильное питание фото... капустная диета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09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33" w:rsidRPr="00012769">
        <w:rPr>
          <w:rFonts w:ascii="Times New Roman" w:hAnsi="Times New Roman"/>
          <w:b/>
          <w:sz w:val="28"/>
          <w:szCs w:val="28"/>
        </w:rPr>
        <w:t>Йоддефицитные заболевания:</w:t>
      </w:r>
      <w:r w:rsidR="00907433" w:rsidRPr="00012769">
        <w:rPr>
          <w:rFonts w:ascii="Times New Roman" w:hAnsi="Times New Roman"/>
          <w:sz w:val="28"/>
          <w:szCs w:val="28"/>
        </w:rPr>
        <w:t xml:space="preserve"> диффузный и узловой эндемический зоб, умственная отсталость, задержка роста и развития.</w:t>
      </w:r>
    </w:p>
    <w:p w:rsidR="00907433" w:rsidRPr="00012769" w:rsidRDefault="00907433" w:rsidP="00012769">
      <w:pPr>
        <w:numPr>
          <w:ilvl w:val="1"/>
          <w:numId w:val="2"/>
        </w:numPr>
        <w:tabs>
          <w:tab w:val="clear" w:pos="1485"/>
          <w:tab w:val="num" w:pos="540"/>
        </w:tabs>
        <w:ind w:left="0" w:firstLine="18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b/>
          <w:sz w:val="28"/>
          <w:szCs w:val="28"/>
        </w:rPr>
        <w:t>Железодефицитные анемии</w:t>
      </w:r>
      <w:r w:rsidRPr="00012769">
        <w:rPr>
          <w:rFonts w:ascii="Times New Roman" w:hAnsi="Times New Roman"/>
          <w:sz w:val="28"/>
          <w:szCs w:val="28"/>
        </w:rPr>
        <w:t>, особенно для групп риска (дети, подростки, беременные)</w:t>
      </w:r>
      <w:r w:rsidR="00012769" w:rsidRPr="00012769">
        <w:rPr>
          <w:rFonts w:ascii="Times New Roman" w:hAnsi="Times New Roman"/>
          <w:sz w:val="28"/>
          <w:szCs w:val="28"/>
        </w:rPr>
        <w:t>.</w:t>
      </w:r>
    </w:p>
    <w:p w:rsidR="00012769" w:rsidRDefault="00907433" w:rsidP="00012769">
      <w:pPr>
        <w:numPr>
          <w:ilvl w:val="1"/>
          <w:numId w:val="2"/>
        </w:numPr>
        <w:tabs>
          <w:tab w:val="clear" w:pos="1485"/>
          <w:tab w:val="num" w:pos="540"/>
        </w:tabs>
        <w:ind w:left="0" w:firstLine="18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b/>
          <w:sz w:val="28"/>
          <w:szCs w:val="28"/>
        </w:rPr>
        <w:t>Остеопороз</w:t>
      </w:r>
      <w:r w:rsidRPr="00012769">
        <w:rPr>
          <w:rFonts w:ascii="Times New Roman" w:hAnsi="Times New Roman"/>
          <w:sz w:val="28"/>
          <w:szCs w:val="28"/>
        </w:rPr>
        <w:t xml:space="preserve"> – дефицит кальция и витамина</w:t>
      </w:r>
      <w:r w:rsidR="00012769" w:rsidRPr="00012769">
        <w:rPr>
          <w:rFonts w:ascii="Times New Roman" w:hAnsi="Times New Roman"/>
          <w:sz w:val="28"/>
          <w:szCs w:val="28"/>
        </w:rPr>
        <w:t>.</w:t>
      </w:r>
    </w:p>
    <w:p w:rsidR="00907433" w:rsidRPr="00012769" w:rsidRDefault="00907433" w:rsidP="00B95FD5">
      <w:pPr>
        <w:numPr>
          <w:ilvl w:val="1"/>
          <w:numId w:val="2"/>
        </w:numPr>
        <w:tabs>
          <w:tab w:val="clear" w:pos="1485"/>
          <w:tab w:val="num" w:pos="360"/>
        </w:tabs>
        <w:ind w:left="0" w:firstLine="18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b/>
          <w:sz w:val="28"/>
          <w:szCs w:val="28"/>
        </w:rPr>
        <w:t>Алиментарно-зависимая пато</w:t>
      </w:r>
      <w:r w:rsidR="00B95FD5">
        <w:rPr>
          <w:rFonts w:ascii="Times New Roman" w:hAnsi="Times New Roman"/>
          <w:b/>
          <w:sz w:val="28"/>
          <w:szCs w:val="28"/>
        </w:rPr>
        <w:t>-</w:t>
      </w:r>
      <w:r w:rsidRPr="00012769">
        <w:rPr>
          <w:rFonts w:ascii="Times New Roman" w:hAnsi="Times New Roman"/>
          <w:b/>
          <w:sz w:val="28"/>
          <w:szCs w:val="28"/>
        </w:rPr>
        <w:t>логия</w:t>
      </w:r>
      <w:r w:rsidRPr="00012769">
        <w:rPr>
          <w:rFonts w:ascii="Times New Roman" w:hAnsi="Times New Roman"/>
          <w:sz w:val="28"/>
          <w:szCs w:val="28"/>
        </w:rPr>
        <w:t xml:space="preserve"> (опухоли, атеросклероз, артериальная гипертензия, ожирение, сахарный диабет и др.) – дефицит пищевых волокон, витаминов групп В, витамина А, кальция, избыток жиров, легкоусвояемых углеводов и калорий.</w:t>
      </w:r>
    </w:p>
    <w:p w:rsidR="00907433" w:rsidRPr="00012769" w:rsidRDefault="00907433" w:rsidP="00012769">
      <w:pPr>
        <w:numPr>
          <w:ilvl w:val="1"/>
          <w:numId w:val="2"/>
        </w:numPr>
        <w:tabs>
          <w:tab w:val="clear" w:pos="1485"/>
          <w:tab w:val="num" w:pos="540"/>
        </w:tabs>
        <w:ind w:left="0" w:firstLine="18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b/>
          <w:sz w:val="28"/>
          <w:szCs w:val="28"/>
        </w:rPr>
        <w:t>Пороки развития нервной системы</w:t>
      </w:r>
      <w:r w:rsidRPr="00012769">
        <w:rPr>
          <w:rFonts w:ascii="Times New Roman" w:hAnsi="Times New Roman"/>
          <w:sz w:val="28"/>
          <w:szCs w:val="28"/>
        </w:rPr>
        <w:t xml:space="preserve"> (дефицит фолиевой кислоты перед и во время беременности).</w:t>
      </w:r>
    </w:p>
    <w:p w:rsidR="00907433" w:rsidRPr="00012769" w:rsidRDefault="00907433" w:rsidP="00012769">
      <w:pPr>
        <w:numPr>
          <w:ilvl w:val="1"/>
          <w:numId w:val="2"/>
        </w:numPr>
        <w:tabs>
          <w:tab w:val="clear" w:pos="1485"/>
          <w:tab w:val="num" w:pos="540"/>
        </w:tabs>
        <w:ind w:left="0" w:firstLine="180"/>
        <w:rPr>
          <w:rFonts w:ascii="Times New Roman" w:hAnsi="Times New Roman"/>
          <w:sz w:val="28"/>
          <w:szCs w:val="28"/>
        </w:rPr>
      </w:pPr>
      <w:r w:rsidRPr="00012769">
        <w:rPr>
          <w:rFonts w:ascii="Times New Roman" w:hAnsi="Times New Roman"/>
          <w:b/>
          <w:sz w:val="28"/>
          <w:szCs w:val="28"/>
        </w:rPr>
        <w:t>Кариес</w:t>
      </w:r>
      <w:r w:rsidRPr="00012769">
        <w:rPr>
          <w:rFonts w:ascii="Times New Roman" w:hAnsi="Times New Roman"/>
          <w:sz w:val="28"/>
          <w:szCs w:val="28"/>
        </w:rPr>
        <w:t xml:space="preserve"> – недостаток фтора в питьевой воде и продуктах питания.</w:t>
      </w:r>
    </w:p>
    <w:p w:rsidR="00C91D8C" w:rsidRPr="00012769" w:rsidRDefault="00C91D8C">
      <w:pPr>
        <w:rPr>
          <w:sz w:val="28"/>
          <w:szCs w:val="28"/>
        </w:rPr>
      </w:pPr>
    </w:p>
    <w:sectPr w:rsidR="00C91D8C" w:rsidRPr="00012769" w:rsidSect="000127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360" w:right="38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5E" w:rsidRDefault="00304C5E">
      <w:r>
        <w:separator/>
      </w:r>
    </w:p>
  </w:endnote>
  <w:endnote w:type="continuationSeparator" w:id="0">
    <w:p w:rsidR="00304C5E" w:rsidRDefault="0030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D" w:rsidRDefault="005C44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5" w:rsidRDefault="00B95FD5">
    <w:pPr>
      <w:pStyle w:val="a3"/>
      <w:jc w:val="center"/>
    </w:pPr>
  </w:p>
  <w:p w:rsidR="00B95FD5" w:rsidRDefault="00B95FD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D" w:rsidRDefault="005C44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5E" w:rsidRDefault="00304C5E">
      <w:r>
        <w:separator/>
      </w:r>
    </w:p>
  </w:footnote>
  <w:footnote w:type="continuationSeparator" w:id="0">
    <w:p w:rsidR="00304C5E" w:rsidRDefault="0030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D" w:rsidRDefault="005C44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D" w:rsidRDefault="005C44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2D" w:rsidRDefault="005C44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443"/>
    <w:multiLevelType w:val="hybridMultilevel"/>
    <w:tmpl w:val="4D82DBBA"/>
    <w:lvl w:ilvl="0" w:tplc="7750C5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F411D"/>
    <w:multiLevelType w:val="hybridMultilevel"/>
    <w:tmpl w:val="2E04AA6A"/>
    <w:lvl w:ilvl="0" w:tplc="58A2D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FE49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CF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67E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228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0B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30C6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66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A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D3301F"/>
    <w:multiLevelType w:val="hybridMultilevel"/>
    <w:tmpl w:val="67E4F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0C56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 w:tplc="02D86A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01B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C4A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2CBA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A5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6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67F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C07FC"/>
    <w:multiLevelType w:val="hybridMultilevel"/>
    <w:tmpl w:val="1BAA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A267D"/>
    <w:multiLevelType w:val="hybridMultilevel"/>
    <w:tmpl w:val="92288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33"/>
    <w:rsid w:val="00012769"/>
    <w:rsid w:val="00267A63"/>
    <w:rsid w:val="00304C5E"/>
    <w:rsid w:val="00322027"/>
    <w:rsid w:val="00451002"/>
    <w:rsid w:val="00452080"/>
    <w:rsid w:val="005B0117"/>
    <w:rsid w:val="005C442D"/>
    <w:rsid w:val="006A3BBB"/>
    <w:rsid w:val="008F354A"/>
    <w:rsid w:val="00907433"/>
    <w:rsid w:val="009B06E4"/>
    <w:rsid w:val="00AC5668"/>
    <w:rsid w:val="00B001C4"/>
    <w:rsid w:val="00B95FD5"/>
    <w:rsid w:val="00BE1B27"/>
    <w:rsid w:val="00C77946"/>
    <w:rsid w:val="00C91D8C"/>
    <w:rsid w:val="00E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33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9074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07433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rsid w:val="0001276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33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9074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07433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rsid w:val="0001276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gurmerehberi.com/wp-content/uploads/2012/04/Seyyar-File.jp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ionizator.dp.ua/images/2013032951557afe838ac22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mg0.liveinternet.ru/images/attach/c/7/97/796/97796874_piramida_pitaniya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www.krasfun.ru/images/2012/5/519d8_1337568786_053.jp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http://5dreal.com/wp-content/uploads/2012/11/292831_483414198356938_1416516869_n.jpg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5357</CharactersWithSpaces>
  <SharedDoc>false</SharedDoc>
  <HLinks>
    <vt:vector size="30" baseType="variant">
      <vt:variant>
        <vt:i4>4980781</vt:i4>
      </vt:variant>
      <vt:variant>
        <vt:i4>-1</vt:i4>
      </vt:variant>
      <vt:variant>
        <vt:i4>1027</vt:i4>
      </vt:variant>
      <vt:variant>
        <vt:i4>1</vt:i4>
      </vt:variant>
      <vt:variant>
        <vt:lpwstr>http://5dreal.com/wp-content/uploads/2012/11/292831_483414198356938_1416516869_n.jpg</vt:lpwstr>
      </vt:variant>
      <vt:variant>
        <vt:lpwstr/>
      </vt:variant>
      <vt:variant>
        <vt:i4>3735613</vt:i4>
      </vt:variant>
      <vt:variant>
        <vt:i4>-1</vt:i4>
      </vt:variant>
      <vt:variant>
        <vt:i4>1028</vt:i4>
      </vt:variant>
      <vt:variant>
        <vt:i4>1</vt:i4>
      </vt:variant>
      <vt:variant>
        <vt:lpwstr>http://www.krasfun.ru/images/2012/5/519d8_1337568786_053.jpg</vt:lpwstr>
      </vt:variant>
      <vt:variant>
        <vt:lpwstr/>
      </vt:variant>
      <vt:variant>
        <vt:i4>4194376</vt:i4>
      </vt:variant>
      <vt:variant>
        <vt:i4>-1</vt:i4>
      </vt:variant>
      <vt:variant>
        <vt:i4>1030</vt:i4>
      </vt:variant>
      <vt:variant>
        <vt:i4>1</vt:i4>
      </vt:variant>
      <vt:variant>
        <vt:lpwstr>http://img0.liveinternet.ru/images/attach/c/7/97/796/97796874_piramida_pitaniya.jpg</vt:lpwstr>
      </vt:variant>
      <vt:variant>
        <vt:lpwstr/>
      </vt:variant>
      <vt:variant>
        <vt:i4>7864355</vt:i4>
      </vt:variant>
      <vt:variant>
        <vt:i4>-1</vt:i4>
      </vt:variant>
      <vt:variant>
        <vt:i4>1031</vt:i4>
      </vt:variant>
      <vt:variant>
        <vt:i4>1</vt:i4>
      </vt:variant>
      <vt:variant>
        <vt:lpwstr>http://www.gurmerehberi.com/wp-content/uploads/2012/04/Seyyar-File.jpg</vt:lpwstr>
      </vt:variant>
      <vt:variant>
        <vt:lpwstr/>
      </vt:variant>
      <vt:variant>
        <vt:i4>7274531</vt:i4>
      </vt:variant>
      <vt:variant>
        <vt:i4>-1</vt:i4>
      </vt:variant>
      <vt:variant>
        <vt:i4>1032</vt:i4>
      </vt:variant>
      <vt:variant>
        <vt:i4>1</vt:i4>
      </vt:variant>
      <vt:variant>
        <vt:lpwstr>http://ionizator.dp.ua/images/2013032951557afe838ac222.jpg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2015-03-25T13:43:00Z</dcterms:created>
  <dcterms:modified xsi:type="dcterms:W3CDTF">2015-03-25T13:43:00Z</dcterms:modified>
</cp:coreProperties>
</file>